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 w:eastAsia="黑体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申请人办理“商转公”贷款需提供资料</w:t>
      </w:r>
    </w:p>
    <w:tbl>
      <w:tblPr>
        <w:tblStyle w:val="3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624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仿宋" w:eastAsia="仿宋_GB2312" w:cs="仿宋"/>
                <w:kern w:val="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序号</w:t>
            </w:r>
          </w:p>
        </w:tc>
        <w:tc>
          <w:tcPr>
            <w:tcW w:w="7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仿宋" w:eastAsia="仿宋_GB2312" w:cs="仿宋"/>
                <w:kern w:val="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材 料 名 称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仿宋" w:eastAsia="仿宋_GB2312" w:cs="仿宋"/>
                <w:kern w:val="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  <w:tc>
          <w:tcPr>
            <w:tcW w:w="7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本人及共同申请人的身份证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本人及共同申请人的户口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薄（户口首页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+本人页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</w:t>
            </w:r>
          </w:p>
        </w:tc>
        <w:tc>
          <w:tcPr>
            <w:tcW w:w="7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婚姻关系证明（结婚证、离婚证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、法院判决书、法院调解书、法院离婚证明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仿宋" w:eastAsia="仿宋_GB2312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hint="eastAsia" w:ascii="仿宋_GB2312" w:hAnsi="仿宋" w:eastAsia="仿宋_GB2312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夫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妻双方个人征信报告（近两年内逾期不得超过连六累十二）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val="en-US" w:eastAsia="zh-CN"/>
              </w:rPr>
              <w:t>借款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人名下银行卡（工、农、中、建、交、晋商、邮政储蓄银行A类卡）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贷款信息核查函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《不动产权证书》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商业银行借款合同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before="157" w:beforeLines="50" w:beforeAutospacing="0" w:after="157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大家请前往本人缴存地公积金管理部门进行详细咨询。</w:t>
      </w:r>
    </w:p>
    <w:p>
      <w:pPr>
        <w:ind w:firstLine="320" w:firstLineChars="1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热线电话：0349-12329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Njg3MzI0MDFhNDhlZDZjNDYwNDhiM2E2YmQ2N2MifQ=="/>
  </w:docVars>
  <w:rsids>
    <w:rsidRoot w:val="525129CC"/>
    <w:rsid w:val="5251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2024-01-03T06:57:00Z</dcterms:created>
  <dc:creator>罗炜</dc:creator>
  <cp:lastModifiedBy>罗炜</cp:lastModifiedBy>
  <dcterms:modified xsi:type="dcterms:W3CDTF">2024-01-03T06:57:57Z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667A50EBEEF64E2384B3FE331E03D93D_11</vt:lpwstr>
  </property>
</Properties>
</file>